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6"/>
          <w:szCs w:val="44"/>
          <w:lang w:val="en-US" w:eastAsia="zh-CN"/>
        </w:rPr>
      </w:pPr>
      <w:r>
        <w:rPr>
          <w:rFonts w:hint="eastAsia" w:ascii="方正小标宋简体" w:hAnsi="方正小标宋简体" w:eastAsia="方正小标宋简体" w:cs="方正小标宋简体"/>
          <w:sz w:val="36"/>
          <w:szCs w:val="44"/>
          <w:lang w:val="en-US" w:eastAsia="zh-CN"/>
        </w:rPr>
        <w:t>嘉鱼县第二期</w:t>
      </w:r>
      <w:bookmarkStart w:id="0" w:name="_GoBack"/>
      <w:bookmarkEnd w:id="0"/>
      <w:r>
        <w:rPr>
          <w:rFonts w:hint="eastAsia" w:ascii="方正小标宋简体" w:hAnsi="方正小标宋简体" w:eastAsia="方正小标宋简体" w:cs="方正小标宋简体"/>
          <w:sz w:val="36"/>
          <w:szCs w:val="44"/>
          <w:lang w:val="en-US" w:eastAsia="zh-CN"/>
        </w:rPr>
        <w:t>校外培训机构“白灰黑”名单</w:t>
      </w:r>
    </w:p>
    <w:tbl>
      <w:tblPr>
        <w:tblStyle w:val="3"/>
        <w:tblW w:w="10728" w:type="dxa"/>
        <w:tblInd w:w="-1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3416"/>
        <w:gridCol w:w="168"/>
        <w:gridCol w:w="3015"/>
        <w:gridCol w:w="2173"/>
        <w:gridCol w:w="13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0728" w:type="dxa"/>
            <w:gridSpan w:val="6"/>
            <w:noWrap w:val="0"/>
            <w:vAlign w:val="center"/>
          </w:tcPr>
          <w:p>
            <w:pPr>
              <w:spacing w:line="560" w:lineRule="exact"/>
              <w:jc w:val="center"/>
              <w:rPr>
                <w:rFonts w:ascii="仿宋_GB2312" w:hAnsi="仿宋_GB2312" w:eastAsia="仿宋_GB2312" w:cs="仿宋_GB2312"/>
                <w:sz w:val="32"/>
                <w:szCs w:val="40"/>
              </w:rPr>
            </w:pPr>
            <w:r>
              <w:rPr>
                <w:rFonts w:hint="eastAsia" w:ascii="黑体" w:hAnsi="黑体" w:eastAsia="黑体" w:cs="黑体"/>
                <w:sz w:val="32"/>
                <w:szCs w:val="40"/>
              </w:rPr>
              <w:t>校外培训机构“白”名单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60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楷体" w:hAnsi="楷体" w:eastAsia="楷体" w:cs="楷体"/>
                <w:sz w:val="28"/>
                <w:szCs w:val="36"/>
              </w:rPr>
            </w:pPr>
            <w:r>
              <w:rPr>
                <w:rFonts w:hint="eastAsia" w:ascii="楷体" w:hAnsi="楷体" w:eastAsia="楷体" w:cs="楷体"/>
                <w:sz w:val="28"/>
                <w:szCs w:val="36"/>
              </w:rPr>
              <w:t>序号</w:t>
            </w:r>
          </w:p>
        </w:tc>
        <w:tc>
          <w:tcPr>
            <w:tcW w:w="3416" w:type="dxa"/>
            <w:noWrap w:val="0"/>
            <w:vAlign w:val="center"/>
          </w:tcPr>
          <w:p>
            <w:pPr>
              <w:spacing w:line="560" w:lineRule="exact"/>
              <w:jc w:val="center"/>
              <w:rPr>
                <w:rFonts w:hint="eastAsia" w:ascii="楷体" w:hAnsi="楷体" w:eastAsia="楷体" w:cs="楷体"/>
                <w:sz w:val="28"/>
                <w:szCs w:val="36"/>
              </w:rPr>
            </w:pPr>
            <w:r>
              <w:rPr>
                <w:rFonts w:hint="eastAsia" w:ascii="楷体" w:hAnsi="楷体" w:eastAsia="楷体" w:cs="楷体"/>
                <w:sz w:val="28"/>
                <w:szCs w:val="36"/>
              </w:rPr>
              <w:t>机构名称</w:t>
            </w:r>
          </w:p>
        </w:tc>
        <w:tc>
          <w:tcPr>
            <w:tcW w:w="3183" w:type="dxa"/>
            <w:gridSpan w:val="2"/>
            <w:noWrap w:val="0"/>
            <w:vAlign w:val="center"/>
          </w:tcPr>
          <w:p>
            <w:pPr>
              <w:spacing w:line="560" w:lineRule="exact"/>
              <w:jc w:val="center"/>
              <w:rPr>
                <w:rFonts w:hint="eastAsia" w:ascii="楷体" w:hAnsi="楷体" w:eastAsia="楷体" w:cs="楷体"/>
                <w:sz w:val="28"/>
                <w:szCs w:val="36"/>
              </w:rPr>
            </w:pPr>
            <w:r>
              <w:rPr>
                <w:rFonts w:hint="eastAsia" w:ascii="楷体" w:hAnsi="楷体" w:eastAsia="楷体" w:cs="楷体"/>
                <w:sz w:val="28"/>
                <w:szCs w:val="36"/>
              </w:rPr>
              <w:t>培训地址</w:t>
            </w:r>
          </w:p>
        </w:tc>
        <w:tc>
          <w:tcPr>
            <w:tcW w:w="2173" w:type="dxa"/>
            <w:noWrap w:val="0"/>
            <w:vAlign w:val="center"/>
          </w:tcPr>
          <w:p>
            <w:pPr>
              <w:spacing w:line="560" w:lineRule="exact"/>
              <w:jc w:val="center"/>
              <w:rPr>
                <w:rFonts w:hint="eastAsia" w:ascii="楷体" w:hAnsi="楷体" w:eastAsia="楷体" w:cs="楷体"/>
                <w:sz w:val="28"/>
                <w:szCs w:val="36"/>
              </w:rPr>
            </w:pPr>
            <w:r>
              <w:rPr>
                <w:rFonts w:hint="eastAsia" w:ascii="楷体" w:hAnsi="楷体" w:eastAsia="楷体" w:cs="楷体"/>
                <w:sz w:val="28"/>
                <w:szCs w:val="36"/>
              </w:rPr>
              <w:t>培训类别</w:t>
            </w:r>
          </w:p>
        </w:tc>
        <w:tc>
          <w:tcPr>
            <w:tcW w:w="1356" w:type="dxa"/>
            <w:noWrap w:val="0"/>
            <w:vAlign w:val="center"/>
          </w:tcPr>
          <w:p>
            <w:pPr>
              <w:spacing w:line="560" w:lineRule="exact"/>
              <w:jc w:val="center"/>
              <w:rPr>
                <w:rFonts w:hint="eastAsia" w:ascii="楷体" w:hAnsi="楷体" w:eastAsia="楷体" w:cs="楷体"/>
                <w:sz w:val="28"/>
                <w:szCs w:val="36"/>
              </w:rPr>
            </w:pPr>
            <w:r>
              <w:rPr>
                <w:rFonts w:hint="eastAsia" w:ascii="楷体" w:hAnsi="楷体" w:eastAsia="楷体" w:cs="楷体"/>
                <w:sz w:val="28"/>
                <w:szCs w:val="36"/>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1</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嘉鱼县雅逸艺术培训有限公司</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鱼岳镇沙阳大道</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center"/>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2</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嘉鱼县李老师艺术培训有限公司</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鱼岳镇人民大道11-2号</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center"/>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3</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嘉鱼县憬鸿文化艺术培训有限公司</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鱼岳镇小湖路锦绣家园2栋106号商铺</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4</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嘉鱼县花开有声艺术培训有限公司</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湖北省咸宁市嘉鱼县鱼岳镇方庄路（玉宇。南爵嘉苑1栋204铺）</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5</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咸宁市小字迷教育咨询有限公司</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鱼岳镇沙阳大道城市天地幢401铺</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6</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嘉鱼梦航体育运动有限责任公司</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aps w:val="0"/>
                <w:color w:val="auto"/>
                <w:spacing w:val="0"/>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鱼岳镇发展大道38号</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7</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嘉鱼县南嘉体育有限公司</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鱼岳镇发展大道159号</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8</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aps w:val="0"/>
                <w:color w:val="auto"/>
                <w:spacing w:val="0"/>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嘉鱼县梦响家托育中心</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鱼岳镇</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9</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aps w:val="0"/>
                <w:color w:val="auto"/>
                <w:spacing w:val="0"/>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嘉鱼县一颗球体育发展有限责任公司</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鱼岳镇三湖连江大道与主坝路交叉口</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10</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aps w:val="0"/>
                <w:color w:val="auto"/>
                <w:spacing w:val="0"/>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嘉鱼壹树素质艺术培训中心</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鱼岳镇岳公路国宾府商业街5栋202</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11</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aps w:val="0"/>
                <w:color w:val="auto"/>
                <w:spacing w:val="0"/>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嘉鱼县小桔灯培训学校</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嘉鱼县南嘉商业城二楼</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12</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aps w:val="0"/>
                <w:color w:val="auto"/>
                <w:spacing w:val="0"/>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嘉鱼县蓝天教育培训学校</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喜鱼县鱼岳镇诗经大道（万家花园）1栋3楼</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13</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aps w:val="0"/>
                <w:color w:val="auto"/>
                <w:spacing w:val="0"/>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湖北漫淘艺术培训学校有限公司嘉鱼分公司</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鱼岳镇女婿街59号</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14</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aps w:val="0"/>
                <w:color w:val="auto"/>
                <w:spacing w:val="0"/>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嘉鱼县永驰武术跆拳道馆</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鱼岳镇烟墩路8号</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15</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aps w:val="0"/>
                <w:color w:val="auto"/>
                <w:spacing w:val="0"/>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嘉鱼县起点语言艺术培训有限公司（原快乐语言）</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嘉鱼县鱼岳镇沿湖大道46号（二乔广场二楼）</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16</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aps w:val="0"/>
                <w:color w:val="auto"/>
                <w:spacing w:val="0"/>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湖北漫淘艺术培训学校有限公司</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沙阳大道125号</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17</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嘉鱼县贝思特艺术教育中心</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嘉鱼县鱼岳镇人民大道（联乐广场）</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18</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嘉鱼县金鑫跆拳道馆</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一致</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19</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嘉鱼县墨蕴书法工作室</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鱼岳镇茶庵路10号</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20</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嘉鱼县彤星舞蹈培训</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鱼岳镇凤凰大道（金色滨江）</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21</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嘉鱼县启名星培训中心</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湖北省咸宁市嘉鱼县</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22</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嘉鱼县晨韵羽毛球篮球培训工作室</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鱼岳镇发展大道（湖北申邦化钎科技有限公司九幢综合楼）</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23</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嘉鱼县伊画艺术培训有限公司</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嘉鱼县鱼岳镇人民大道（联乐广场四楼）</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24</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嘉鱼嘉舞文化传播有限公司</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鱼岳镇沙阳大道4层</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25</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嘉鱼县武鑫跆拳道馆</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鱼岳镇小湖路</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26</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嘉鱼县妙笔练字学堂</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嘉鱼县鱼岳镇发展大道188号11栋</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27</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嘉鱼县依艺艺术工作室</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潘家湾镇达咸街富汇龙柏商业街S8-9、10号</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28</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嘉鱼县鼓点架子鼓艺术中心</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鱼岳镇人民大道11－2号</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29</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嘉鱼县晨颖艺术培训学校有限公司根据地分公司</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鱼岳镇人民大道24号2楼</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30</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嘉鱼县晨颖艺术培训学校有限公司新天地分公司</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鱼岳镇新天地5A栋2层</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31</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嘉鱼县笙桥舞蹈工作室</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嘉鱼县鱼岳镇岳公路(得瑞广场二楼)</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32</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嘉鱼县晨颖艺术培训学校有限公司</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湖北省咸宁市嘉鱼县鱼岳镇迎宾大道华清园三楼</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33</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aps w:val="0"/>
                <w:color w:val="auto"/>
                <w:spacing w:val="0"/>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嘉鱼县筝韵古筝培训工作室</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鱼岳镇烟墩路1幢202铺</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34</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aps w:val="0"/>
                <w:color w:val="auto"/>
                <w:spacing w:val="0"/>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嘉鱼县启迪画室</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鱼岳镇发展大道123号</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35</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aps w:val="0"/>
                <w:color w:val="auto"/>
                <w:spacing w:val="0"/>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嘉鱼县宸纶语言艺术教育中心</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鱼岳镇沿湖大道二期5栋201-204室</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36</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aps w:val="0"/>
                <w:color w:val="auto"/>
                <w:spacing w:val="0"/>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嘉鱼县益新艺术培训有限公司（原二乔画室）</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嘉鱼县二乔画室</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37</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aps w:val="0"/>
                <w:color w:val="auto"/>
                <w:spacing w:val="0"/>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湖北潇华培训学校有限公司</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鱼岳镇沙阳大道12号-2</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38</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aps w:val="0"/>
                <w:color w:val="auto"/>
                <w:spacing w:val="0"/>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嘉鱼县筝舞飞扬培训学校有限公司</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嘉鱼县鱼岳镇沙阳大道12号-2</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600"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shd w:val="clear" w:color="auto" w:fill="auto"/>
                <w:vertAlign w:val="baseline"/>
                <w:lang w:val="en-US" w:eastAsia="zh-CN"/>
              </w:rPr>
            </w:pPr>
            <w:r>
              <w:rPr>
                <w:rFonts w:hint="eastAsia" w:ascii="CESI仿宋-GB2312" w:hAnsi="CESI仿宋-GB2312" w:eastAsia="CESI仿宋-GB2312" w:cs="CESI仿宋-GB2312"/>
                <w:i w:val="0"/>
                <w:color w:val="auto"/>
                <w:kern w:val="0"/>
                <w:sz w:val="21"/>
                <w:szCs w:val="21"/>
                <w:u w:val="none"/>
                <w:lang w:val="en-US" w:eastAsia="zh-CN" w:bidi="ar"/>
              </w:rPr>
              <w:t>39</w:t>
            </w:r>
          </w:p>
        </w:tc>
        <w:tc>
          <w:tcPr>
            <w:tcW w:w="341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aps w:val="0"/>
                <w:color w:val="auto"/>
                <w:spacing w:val="0"/>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嘉鱼智慧培训学校有限公司</w:t>
            </w:r>
          </w:p>
        </w:tc>
        <w:tc>
          <w:tcPr>
            <w:tcW w:w="3183" w:type="dxa"/>
            <w:gridSpan w:val="2"/>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湖北省嘉鱼县发展大道159号</w:t>
            </w:r>
          </w:p>
        </w:tc>
        <w:tc>
          <w:tcPr>
            <w:tcW w:w="2173"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2"/>
                <w:sz w:val="21"/>
                <w:szCs w:val="21"/>
                <w:shd w:val="clear" w:color="auto" w:fill="auto"/>
                <w:vertAlign w:val="baseli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1356" w:type="dxa"/>
            <w:noWrap w:val="0"/>
            <w:vAlign w:val="top"/>
          </w:tcPr>
          <w:p>
            <w:pPr>
              <w:spacing w:beforeLines="0" w:afterLines="0"/>
              <w:jc w:val="center"/>
              <w:rPr>
                <w:rFonts w:hint="eastAsia" w:ascii="楷体" w:hAnsi="楷体" w:eastAsia="楷体" w:cs="楷体"/>
                <w:color w:val="auto"/>
                <w:kern w:val="2"/>
                <w:sz w:val="28"/>
                <w:szCs w:val="28"/>
                <w:shd w:val="clear" w:color="auto" w:fill="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600" w:type="dxa"/>
            <w:noWrap w:val="0"/>
            <w:vAlign w:val="center"/>
          </w:tcPr>
          <w:p>
            <w:pPr>
              <w:keepNext w:val="0"/>
              <w:keepLines w:val="0"/>
              <w:widowControl/>
              <w:suppressLineNumbers w:val="0"/>
              <w:jc w:val="center"/>
              <w:textAlignment w:val="center"/>
              <w:rPr>
                <w:rFonts w:hint="default" w:ascii="CESI仿宋-GB2312" w:hAnsi="CESI仿宋-GB2312" w:eastAsia="CESI仿宋-GB2312" w:cs="CESI仿宋-GB2312"/>
                <w:i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40</w:t>
            </w:r>
          </w:p>
        </w:tc>
        <w:tc>
          <w:tcPr>
            <w:tcW w:w="3416" w:type="dxa"/>
            <w:noWrap w:val="0"/>
            <w:vAlign w:val="center"/>
          </w:tcPr>
          <w:p>
            <w:pPr>
              <w:keepNext w:val="0"/>
              <w:keepLines w:val="0"/>
              <w:widowControl/>
              <w:suppressLineNumbers w:val="0"/>
              <w:jc w:val="center"/>
              <w:textAlignment w:val="center"/>
              <w:rPr>
                <w:rFonts w:hint="eastAsia" w:ascii="楷体" w:hAnsi="楷体" w:eastAsia="楷体" w:cs="楷体"/>
                <w:color w:val="000000"/>
                <w:kern w:val="2"/>
                <w:sz w:val="28"/>
                <w:szCs w:val="28"/>
                <w:lang w:val="en-US" w:eastAsia="zh-CN" w:bidi="ar-SA"/>
              </w:rPr>
            </w:pPr>
            <w:r>
              <w:rPr>
                <w:rFonts w:hint="eastAsia" w:ascii="CESI仿宋-GB2312" w:hAnsi="CESI仿宋-GB2312" w:eastAsia="CESI仿宋-GB2312" w:cs="CESI仿宋-GB2312"/>
                <w:i w:val="0"/>
                <w:color w:val="000000"/>
                <w:kern w:val="0"/>
                <w:sz w:val="20"/>
                <w:szCs w:val="20"/>
                <w:u w:val="none"/>
                <w:lang w:val="en-US" w:eastAsia="zh-CN" w:bidi="ar"/>
              </w:rPr>
              <w:t>嘉鱼县文群艺术培训有限公司</w:t>
            </w:r>
          </w:p>
        </w:tc>
        <w:tc>
          <w:tcPr>
            <w:tcW w:w="3183" w:type="dxa"/>
            <w:gridSpan w:val="2"/>
            <w:noWrap w:val="0"/>
            <w:vAlign w:val="center"/>
          </w:tcPr>
          <w:p>
            <w:pPr>
              <w:keepNext w:val="0"/>
              <w:keepLines w:val="0"/>
              <w:widowControl/>
              <w:suppressLineNumbers w:val="0"/>
              <w:jc w:val="center"/>
              <w:textAlignment w:val="center"/>
              <w:rPr>
                <w:rFonts w:hint="eastAsia" w:ascii="楷体" w:hAnsi="楷体" w:eastAsia="楷体" w:cs="楷体"/>
                <w:color w:val="000000"/>
                <w:kern w:val="2"/>
                <w:sz w:val="28"/>
                <w:szCs w:val="28"/>
                <w:lang w:val="en-US" w:eastAsia="zh-CN" w:bidi="ar-SA"/>
              </w:rPr>
            </w:pPr>
            <w:r>
              <w:rPr>
                <w:rFonts w:hint="eastAsia" w:ascii="CESI仿宋-GB2312" w:hAnsi="CESI仿宋-GB2312" w:eastAsia="CESI仿宋-GB2312" w:cs="CESI仿宋-GB2312"/>
                <w:i w:val="0"/>
                <w:color w:val="000000"/>
                <w:kern w:val="0"/>
                <w:sz w:val="20"/>
                <w:szCs w:val="20"/>
                <w:u w:val="none"/>
                <w:lang w:val="en-US" w:eastAsia="zh-CN" w:bidi="ar"/>
              </w:rPr>
              <w:t>鱼岳镇茶庵岭2组（人民大道9-3号）</w:t>
            </w:r>
          </w:p>
        </w:tc>
        <w:tc>
          <w:tcPr>
            <w:tcW w:w="2173" w:type="dxa"/>
            <w:noWrap w:val="0"/>
            <w:vAlign w:val="center"/>
          </w:tcPr>
          <w:p>
            <w:pPr>
              <w:keepNext w:val="0"/>
              <w:keepLines w:val="0"/>
              <w:widowControl/>
              <w:suppressLineNumbers w:val="0"/>
              <w:jc w:val="center"/>
              <w:textAlignment w:val="center"/>
              <w:rPr>
                <w:rFonts w:hint="eastAsia" w:ascii="楷体" w:hAnsi="楷体" w:eastAsia="楷体" w:cs="楷体"/>
                <w:color w:val="000000"/>
                <w:kern w:val="2"/>
                <w:sz w:val="28"/>
                <w:szCs w:val="28"/>
                <w:lang w:val="en-US" w:eastAsia="zh-CN" w:bidi="ar-SA"/>
              </w:rPr>
            </w:pPr>
            <w:r>
              <w:rPr>
                <w:rFonts w:hint="eastAsia" w:ascii="CESI仿宋-GB2312" w:hAnsi="CESI仿宋-GB2312" w:eastAsia="CESI仿宋-GB2312" w:cs="CESI仿宋-GB2312"/>
                <w:i w:val="0"/>
                <w:color w:val="000000"/>
                <w:kern w:val="0"/>
                <w:sz w:val="20"/>
                <w:szCs w:val="20"/>
                <w:u w:val="none"/>
                <w:lang w:val="en-US" w:eastAsia="zh-CN" w:bidi="ar"/>
              </w:rPr>
              <w:t>非学科类</w:t>
            </w:r>
          </w:p>
        </w:tc>
        <w:tc>
          <w:tcPr>
            <w:tcW w:w="1356" w:type="dxa"/>
            <w:noWrap w:val="0"/>
            <w:vAlign w:val="center"/>
          </w:tcPr>
          <w:p>
            <w:pPr>
              <w:jc w:val="center"/>
              <w:rPr>
                <w:rFonts w:hint="eastAsia" w:ascii="仿宋_GB2312" w:hAnsi="仿宋_GB2312" w:eastAsia="仿宋_GB2312" w:cs="仿宋_GB2312"/>
                <w:color w:val="auto"/>
                <w:kern w:val="2"/>
                <w:sz w:val="28"/>
                <w:szCs w:val="36"/>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3" w:hRule="atLeast"/>
        </w:trPr>
        <w:tc>
          <w:tcPr>
            <w:tcW w:w="10728" w:type="dxa"/>
            <w:gridSpan w:val="6"/>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firstLine="560" w:firstLineChars="200"/>
              <w:textAlignment w:val="auto"/>
              <w:rPr>
                <w:rFonts w:ascii="仿宋_GB2312" w:hAnsi="仿宋_GB2312" w:eastAsia="仿宋_GB2312" w:cs="仿宋_GB2312"/>
                <w:sz w:val="28"/>
                <w:szCs w:val="36"/>
              </w:rPr>
            </w:pPr>
            <w:r>
              <w:rPr>
                <w:rFonts w:hint="eastAsia" w:ascii="楷体_GB2312" w:hAnsi="楷体_GB2312" w:eastAsia="楷体_GB2312" w:cs="楷体_GB2312"/>
                <w:sz w:val="28"/>
                <w:szCs w:val="36"/>
              </w:rPr>
              <w:t>嘉鱼县“双减”办敬告广大学生家长：“白”名单机构均已经取得核准书，并在全国校外培训监管与服务综合平台上架及售卖相应培训课程，接受全流程监管。家长朋友可以结合孩子成长需求，科学选择培训课程，合理安排培训时间，并通过全国校外教育培训“家长端”APP选课缴费，培训费直接缴入培训机构资金监管账户，并与培训机构签订《中小学生校外培训服务合同（示范文本）》，索要正规发票，切勿将培训费用通过其他渠道交给、转给任何机构或个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728" w:type="dxa"/>
            <w:gridSpan w:val="6"/>
            <w:noWrap w:val="0"/>
            <w:vAlign w:val="top"/>
          </w:tcPr>
          <w:p>
            <w:pPr>
              <w:spacing w:line="560" w:lineRule="exact"/>
              <w:jc w:val="center"/>
              <w:rPr>
                <w:rFonts w:ascii="仿宋_GB2312" w:hAnsi="仿宋_GB2312" w:eastAsia="仿宋_GB2312" w:cs="仿宋_GB2312"/>
                <w:sz w:val="28"/>
                <w:szCs w:val="36"/>
              </w:rPr>
            </w:pPr>
            <w:r>
              <w:rPr>
                <w:rFonts w:hint="eastAsia" w:ascii="黑体" w:hAnsi="黑体" w:eastAsia="黑体" w:cs="黑体"/>
                <w:sz w:val="32"/>
                <w:szCs w:val="40"/>
              </w:rPr>
              <w:t>校外培训机构“灰”名单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60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楷体" w:hAnsi="楷体" w:eastAsia="楷体" w:cs="楷体"/>
                <w:sz w:val="28"/>
                <w:szCs w:val="36"/>
              </w:rPr>
            </w:pPr>
            <w:r>
              <w:rPr>
                <w:rFonts w:hint="eastAsia" w:ascii="楷体" w:hAnsi="楷体" w:eastAsia="楷体" w:cs="楷体"/>
                <w:sz w:val="28"/>
                <w:szCs w:val="36"/>
              </w:rPr>
              <w:t>序号</w:t>
            </w:r>
          </w:p>
        </w:tc>
        <w:tc>
          <w:tcPr>
            <w:tcW w:w="3584" w:type="dxa"/>
            <w:gridSpan w:val="2"/>
            <w:noWrap w:val="0"/>
            <w:vAlign w:val="center"/>
          </w:tcPr>
          <w:p>
            <w:pPr>
              <w:spacing w:line="560" w:lineRule="exact"/>
              <w:jc w:val="center"/>
              <w:rPr>
                <w:rFonts w:hint="eastAsia" w:ascii="楷体" w:hAnsi="楷体" w:eastAsia="楷体" w:cs="楷体"/>
                <w:sz w:val="28"/>
                <w:szCs w:val="36"/>
              </w:rPr>
            </w:pPr>
            <w:r>
              <w:rPr>
                <w:rFonts w:hint="eastAsia" w:ascii="楷体" w:hAnsi="楷体" w:eastAsia="楷体" w:cs="楷体"/>
                <w:sz w:val="28"/>
                <w:szCs w:val="36"/>
              </w:rPr>
              <w:t>机构名称</w:t>
            </w:r>
          </w:p>
        </w:tc>
        <w:tc>
          <w:tcPr>
            <w:tcW w:w="3015" w:type="dxa"/>
            <w:noWrap w:val="0"/>
            <w:vAlign w:val="center"/>
          </w:tcPr>
          <w:p>
            <w:pPr>
              <w:spacing w:line="560" w:lineRule="exact"/>
              <w:jc w:val="center"/>
              <w:rPr>
                <w:rFonts w:hint="eastAsia" w:ascii="楷体" w:hAnsi="楷体" w:eastAsia="楷体" w:cs="楷体"/>
                <w:sz w:val="28"/>
                <w:szCs w:val="36"/>
              </w:rPr>
            </w:pPr>
            <w:r>
              <w:rPr>
                <w:rFonts w:hint="eastAsia" w:ascii="楷体" w:hAnsi="楷体" w:eastAsia="楷体" w:cs="楷体"/>
                <w:sz w:val="28"/>
                <w:szCs w:val="36"/>
              </w:rPr>
              <w:t>培训地址</w:t>
            </w:r>
          </w:p>
        </w:tc>
        <w:tc>
          <w:tcPr>
            <w:tcW w:w="2173" w:type="dxa"/>
            <w:noWrap w:val="0"/>
            <w:vAlign w:val="center"/>
          </w:tcPr>
          <w:p>
            <w:pPr>
              <w:spacing w:line="520" w:lineRule="exact"/>
              <w:jc w:val="center"/>
              <w:rPr>
                <w:rFonts w:hint="eastAsia" w:ascii="楷体" w:hAnsi="楷体" w:eastAsia="楷体" w:cs="楷体"/>
                <w:sz w:val="28"/>
                <w:szCs w:val="36"/>
              </w:rPr>
            </w:pPr>
            <w:r>
              <w:rPr>
                <w:rFonts w:hint="eastAsia" w:ascii="楷体" w:hAnsi="楷体" w:eastAsia="楷体" w:cs="楷体"/>
                <w:sz w:val="28"/>
                <w:szCs w:val="36"/>
              </w:rPr>
              <w:t>培训类别</w:t>
            </w:r>
          </w:p>
        </w:tc>
        <w:tc>
          <w:tcPr>
            <w:tcW w:w="1356" w:type="dxa"/>
            <w:noWrap w:val="0"/>
            <w:vAlign w:val="center"/>
          </w:tcPr>
          <w:p>
            <w:pPr>
              <w:spacing w:line="560" w:lineRule="exact"/>
              <w:jc w:val="center"/>
              <w:rPr>
                <w:rFonts w:hint="eastAsia" w:ascii="楷体" w:hAnsi="楷体" w:eastAsia="楷体" w:cs="楷体"/>
                <w:sz w:val="28"/>
                <w:szCs w:val="36"/>
              </w:rPr>
            </w:pPr>
            <w:r>
              <w:rPr>
                <w:rFonts w:hint="eastAsia" w:ascii="楷体" w:hAnsi="楷体" w:eastAsia="楷体" w:cs="楷体"/>
                <w:sz w:val="28"/>
                <w:szCs w:val="36"/>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楷体" w:hAnsi="楷体" w:eastAsia="楷体" w:cs="楷体"/>
                <w:color w:val="000000"/>
                <w:kern w:val="2"/>
                <w:sz w:val="28"/>
                <w:szCs w:val="28"/>
                <w:lang w:val="en-US" w:eastAsia="zh-CN" w:bidi="ar-SA"/>
              </w:rPr>
            </w:pPr>
            <w:r>
              <w:rPr>
                <w:rFonts w:hint="eastAsia" w:ascii="CESI仿宋-GB2312" w:hAnsi="CESI仿宋-GB2312" w:eastAsia="CESI仿宋-GB2312" w:cs="CESI仿宋-GB2312"/>
                <w:i w:val="0"/>
                <w:color w:val="000000"/>
                <w:kern w:val="0"/>
                <w:sz w:val="20"/>
                <w:szCs w:val="20"/>
                <w:u w:val="none"/>
                <w:lang w:val="en-US" w:eastAsia="zh-CN" w:bidi="ar"/>
              </w:rPr>
              <w:t>1</w:t>
            </w:r>
          </w:p>
        </w:tc>
        <w:tc>
          <w:tcPr>
            <w:tcW w:w="3584" w:type="dxa"/>
            <w:gridSpan w:val="2"/>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嘉鱼县星光舞蹈工作室</w:t>
            </w:r>
          </w:p>
        </w:tc>
        <w:tc>
          <w:tcPr>
            <w:tcW w:w="3015"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鱼岳镇沿湖大道28号（泰丰国际C2幢一单元三层三号）</w:t>
            </w:r>
          </w:p>
        </w:tc>
        <w:tc>
          <w:tcPr>
            <w:tcW w:w="2173"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非学科类</w:t>
            </w:r>
          </w:p>
        </w:tc>
        <w:tc>
          <w:tcPr>
            <w:tcW w:w="1356" w:type="dxa"/>
            <w:noWrap w:val="0"/>
            <w:vAlign w:val="center"/>
          </w:tcPr>
          <w:p>
            <w:pPr>
              <w:keepNext w:val="0"/>
              <w:keepLines w:val="0"/>
              <w:widowControl/>
              <w:suppressLineNumbers w:val="0"/>
              <w:jc w:val="center"/>
              <w:textAlignment w:val="center"/>
              <w:rPr>
                <w:rFonts w:hint="default" w:ascii="CESI仿宋-GB2312" w:hAnsi="CESI仿宋-GB2312" w:eastAsia="CESI仿宋-GB2312" w:cs="CESI仿宋-GB2312"/>
                <w:i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600" w:type="dxa"/>
            <w:noWrap w:val="0"/>
            <w:vAlign w:val="center"/>
          </w:tcPr>
          <w:p>
            <w:pPr>
              <w:keepNext w:val="0"/>
              <w:keepLines w:val="0"/>
              <w:widowControl/>
              <w:suppressLineNumbers w:val="0"/>
              <w:jc w:val="center"/>
              <w:textAlignment w:val="center"/>
              <w:rPr>
                <w:rFonts w:hint="eastAsia" w:ascii="楷体" w:hAnsi="楷体" w:eastAsia="楷体" w:cs="楷体"/>
                <w:color w:val="000000"/>
                <w:kern w:val="2"/>
                <w:sz w:val="28"/>
                <w:szCs w:val="28"/>
                <w:lang w:val="en-US" w:eastAsia="zh-CN" w:bidi="ar-SA"/>
              </w:rPr>
            </w:pPr>
            <w:r>
              <w:rPr>
                <w:rFonts w:hint="eastAsia" w:ascii="CESI仿宋-GB2312" w:hAnsi="CESI仿宋-GB2312" w:eastAsia="CESI仿宋-GB2312" w:cs="CESI仿宋-GB2312"/>
                <w:i w:val="0"/>
                <w:color w:val="000000"/>
                <w:kern w:val="0"/>
                <w:sz w:val="20"/>
                <w:szCs w:val="20"/>
                <w:u w:val="none"/>
                <w:lang w:val="en-US" w:eastAsia="zh-CN" w:bidi="ar"/>
              </w:rPr>
              <w:t>2</w:t>
            </w:r>
          </w:p>
        </w:tc>
        <w:tc>
          <w:tcPr>
            <w:tcW w:w="3584" w:type="dxa"/>
            <w:gridSpan w:val="2"/>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嘉鱼县爱乐琴房</w:t>
            </w:r>
          </w:p>
        </w:tc>
        <w:tc>
          <w:tcPr>
            <w:tcW w:w="3015"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嘉鱼县鱼岳镇人民大道11-2号</w:t>
            </w:r>
          </w:p>
        </w:tc>
        <w:tc>
          <w:tcPr>
            <w:tcW w:w="2173"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非学科类</w:t>
            </w:r>
          </w:p>
        </w:tc>
        <w:tc>
          <w:tcPr>
            <w:tcW w:w="135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i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楷体" w:hAnsi="楷体" w:eastAsia="楷体" w:cs="楷体"/>
                <w:color w:val="000000"/>
                <w:kern w:val="2"/>
                <w:sz w:val="28"/>
                <w:szCs w:val="28"/>
                <w:lang w:val="en-US" w:eastAsia="zh-CN" w:bidi="ar-SA"/>
              </w:rPr>
            </w:pPr>
            <w:r>
              <w:rPr>
                <w:rFonts w:hint="eastAsia" w:ascii="CESI仿宋-GB2312" w:hAnsi="CESI仿宋-GB2312" w:eastAsia="CESI仿宋-GB2312" w:cs="CESI仿宋-GB2312"/>
                <w:i w:val="0"/>
                <w:color w:val="000000"/>
                <w:kern w:val="0"/>
                <w:sz w:val="20"/>
                <w:szCs w:val="20"/>
                <w:u w:val="none"/>
                <w:lang w:val="en-US" w:eastAsia="zh-CN" w:bidi="ar"/>
              </w:rPr>
              <w:t>3</w:t>
            </w:r>
          </w:p>
        </w:tc>
        <w:tc>
          <w:tcPr>
            <w:tcW w:w="3584" w:type="dxa"/>
            <w:gridSpan w:val="2"/>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嘉鱼县茶庵爱乐钢琴培训工作室</w:t>
            </w:r>
          </w:p>
        </w:tc>
        <w:tc>
          <w:tcPr>
            <w:tcW w:w="3015"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嘉鱼县鱼岳镇诗经大道万家花园A2栋1-2号</w:t>
            </w:r>
          </w:p>
        </w:tc>
        <w:tc>
          <w:tcPr>
            <w:tcW w:w="2173"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非学科类</w:t>
            </w:r>
          </w:p>
        </w:tc>
        <w:tc>
          <w:tcPr>
            <w:tcW w:w="135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i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楷体" w:hAnsi="楷体" w:eastAsia="楷体" w:cs="楷体"/>
                <w:color w:val="000000"/>
                <w:kern w:val="2"/>
                <w:sz w:val="28"/>
                <w:szCs w:val="28"/>
                <w:lang w:val="en-US" w:eastAsia="zh-CN" w:bidi="ar-SA"/>
              </w:rPr>
            </w:pPr>
            <w:r>
              <w:rPr>
                <w:rFonts w:hint="eastAsia" w:ascii="CESI仿宋-GB2312" w:hAnsi="CESI仿宋-GB2312" w:eastAsia="CESI仿宋-GB2312" w:cs="CESI仿宋-GB2312"/>
                <w:i w:val="0"/>
                <w:color w:val="000000"/>
                <w:kern w:val="0"/>
                <w:sz w:val="20"/>
                <w:szCs w:val="20"/>
                <w:u w:val="none"/>
                <w:lang w:val="en-US" w:eastAsia="zh-CN" w:bidi="ar"/>
              </w:rPr>
              <w:t>4</w:t>
            </w:r>
          </w:p>
        </w:tc>
        <w:tc>
          <w:tcPr>
            <w:tcW w:w="3584" w:type="dxa"/>
            <w:gridSpan w:val="2"/>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嘉鱼县南嘉爱乐琴行</w:t>
            </w:r>
          </w:p>
        </w:tc>
        <w:tc>
          <w:tcPr>
            <w:tcW w:w="3015"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嘉鱼县鱼岳镇沙阳大道(嘉鱼饭店)</w:t>
            </w:r>
          </w:p>
        </w:tc>
        <w:tc>
          <w:tcPr>
            <w:tcW w:w="2173"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非学科类</w:t>
            </w:r>
          </w:p>
        </w:tc>
        <w:tc>
          <w:tcPr>
            <w:tcW w:w="1356" w:type="dxa"/>
            <w:noWrap w:val="0"/>
            <w:vAlign w:val="center"/>
          </w:tcPr>
          <w:p>
            <w:pPr>
              <w:keepNext w:val="0"/>
              <w:keepLines w:val="0"/>
              <w:widowControl/>
              <w:suppressLineNumbers w:val="0"/>
              <w:jc w:val="center"/>
              <w:textAlignment w:val="center"/>
              <w:rPr>
                <w:rFonts w:hint="eastAsia" w:ascii="CESI仿宋-GB2312" w:hAnsi="CESI仿宋-GB2312" w:eastAsia="CESI仿宋-GB2312" w:cs="CESI仿宋-GB2312"/>
                <w:i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5</w:t>
            </w:r>
          </w:p>
        </w:tc>
        <w:tc>
          <w:tcPr>
            <w:tcW w:w="3584" w:type="dxa"/>
            <w:gridSpan w:val="2"/>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嘉鱼县伊绘艺术培训有限公司</w:t>
            </w:r>
          </w:p>
        </w:tc>
        <w:tc>
          <w:tcPr>
            <w:tcW w:w="3015"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嘉鱼县鱼岳镇东岳路新天地5A栋101号</w:t>
            </w:r>
          </w:p>
        </w:tc>
        <w:tc>
          <w:tcPr>
            <w:tcW w:w="2173"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非学科类</w:t>
            </w:r>
          </w:p>
        </w:tc>
        <w:tc>
          <w:tcPr>
            <w:tcW w:w="1356" w:type="dxa"/>
            <w:noWrap w:val="0"/>
            <w:vAlign w:val="center"/>
          </w:tcPr>
          <w:p>
            <w:pPr>
              <w:keepNext w:val="0"/>
              <w:keepLines w:val="0"/>
              <w:widowControl/>
              <w:suppressLineNumbers w:val="0"/>
              <w:jc w:val="center"/>
              <w:textAlignment w:val="center"/>
              <w:rPr>
                <w:rFonts w:hint="default" w:ascii="仿宋_GB2312" w:hAnsi="仿宋_GB2312" w:eastAsia="仿宋_GB2312" w:cs="仿宋_GB2312"/>
                <w:sz w:val="28"/>
                <w:szCs w:val="36"/>
                <w:lang w:val="en-US"/>
              </w:rPr>
            </w:pPr>
            <w:r>
              <w:rPr>
                <w:rFonts w:hint="eastAsia" w:ascii="CESI仿宋-GB2312" w:hAnsi="CESI仿宋-GB2312" w:eastAsia="CESI仿宋-GB2312" w:cs="CESI仿宋-GB2312"/>
                <w:i w:val="0"/>
                <w:color w:val="000000"/>
                <w:kern w:val="0"/>
                <w:sz w:val="20"/>
                <w:szCs w:val="20"/>
                <w:u w:val="none"/>
                <w:lang w:val="en-US" w:eastAsia="zh-CN" w:bidi="ar"/>
              </w:rPr>
              <w:t>已办核准书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6</w:t>
            </w:r>
          </w:p>
        </w:tc>
        <w:tc>
          <w:tcPr>
            <w:tcW w:w="3584" w:type="dxa"/>
            <w:gridSpan w:val="2"/>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新大楚艺术培训中心</w:t>
            </w:r>
          </w:p>
        </w:tc>
        <w:tc>
          <w:tcPr>
            <w:tcW w:w="3015"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嘉鱼县鱼岳镇迎宾大道36号1栋2层17</w:t>
            </w:r>
          </w:p>
        </w:tc>
        <w:tc>
          <w:tcPr>
            <w:tcW w:w="2173"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非学科类</w:t>
            </w:r>
          </w:p>
        </w:tc>
        <w:tc>
          <w:tcPr>
            <w:tcW w:w="1356" w:type="dxa"/>
            <w:noWrap w:val="0"/>
            <w:vAlign w:val="center"/>
          </w:tcPr>
          <w:p>
            <w:pPr>
              <w:keepNext w:val="0"/>
              <w:keepLines w:val="0"/>
              <w:widowControl/>
              <w:suppressLineNumbers w:val="0"/>
              <w:jc w:val="center"/>
              <w:textAlignment w:val="center"/>
              <w:rPr>
                <w:rFonts w:ascii="仿宋_GB2312" w:hAnsi="仿宋_GB2312" w:eastAsia="仿宋_GB2312" w:cs="仿宋_GB2312"/>
                <w:sz w:val="28"/>
                <w:szCs w:val="36"/>
              </w:rPr>
            </w:pPr>
            <w:r>
              <w:rPr>
                <w:rFonts w:hint="eastAsia" w:ascii="CESI仿宋-GB2312" w:hAnsi="CESI仿宋-GB2312" w:eastAsia="CESI仿宋-GB2312" w:cs="CESI仿宋-GB2312"/>
                <w:i w:val="0"/>
                <w:color w:val="000000"/>
                <w:kern w:val="0"/>
                <w:sz w:val="20"/>
                <w:szCs w:val="20"/>
                <w:u w:val="none"/>
                <w:lang w:val="en-US" w:eastAsia="zh-CN" w:bidi="ar"/>
              </w:rPr>
              <w:t>已办核准书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7</w:t>
            </w:r>
          </w:p>
        </w:tc>
        <w:tc>
          <w:tcPr>
            <w:tcW w:w="3584" w:type="dxa"/>
            <w:gridSpan w:val="2"/>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嘉鱼县彤笙桥休闲健身中心</w:t>
            </w:r>
          </w:p>
        </w:tc>
        <w:tc>
          <w:tcPr>
            <w:tcW w:w="3015"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鱼岳镇人民大道33号（电信大楼）2楼</w:t>
            </w:r>
          </w:p>
        </w:tc>
        <w:tc>
          <w:tcPr>
            <w:tcW w:w="2173"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非学科类</w:t>
            </w:r>
          </w:p>
        </w:tc>
        <w:tc>
          <w:tcPr>
            <w:tcW w:w="1356" w:type="dxa"/>
            <w:noWrap w:val="0"/>
            <w:vAlign w:val="center"/>
          </w:tcPr>
          <w:p>
            <w:pPr>
              <w:keepNext w:val="0"/>
              <w:keepLines w:val="0"/>
              <w:widowControl/>
              <w:suppressLineNumbers w:val="0"/>
              <w:jc w:val="center"/>
              <w:textAlignment w:val="center"/>
              <w:rPr>
                <w:rFonts w:ascii="仿宋_GB2312" w:hAnsi="仿宋_GB2312" w:eastAsia="仿宋_GB2312" w:cs="仿宋_GB2312"/>
                <w:sz w:val="28"/>
                <w:szCs w:val="36"/>
              </w:rPr>
            </w:pPr>
            <w:r>
              <w:rPr>
                <w:rFonts w:hint="eastAsia" w:ascii="CESI仿宋-GB2312" w:hAnsi="CESI仿宋-GB2312" w:eastAsia="CESI仿宋-GB2312" w:cs="CESI仿宋-GB2312"/>
                <w:i w:val="0"/>
                <w:color w:val="000000"/>
                <w:kern w:val="0"/>
                <w:sz w:val="20"/>
                <w:szCs w:val="20"/>
                <w:u w:val="none"/>
                <w:lang w:val="en-US" w:eastAsia="zh-CN" w:bidi="ar"/>
              </w:rPr>
              <w:t>已办核准书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0" w:type="dxa"/>
            <w:noWrap w:val="0"/>
            <w:vAlign w:val="center"/>
          </w:tcPr>
          <w:p>
            <w:pPr>
              <w:keepNext w:val="0"/>
              <w:keepLines w:val="0"/>
              <w:widowControl/>
              <w:suppressLineNumbers w:val="0"/>
              <w:jc w:val="center"/>
              <w:textAlignment w:val="center"/>
              <w:rPr>
                <w:rFonts w:hint="default"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8</w:t>
            </w:r>
          </w:p>
        </w:tc>
        <w:tc>
          <w:tcPr>
            <w:tcW w:w="3584" w:type="dxa"/>
            <w:gridSpan w:val="2"/>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嘉鱼县乐庭之声艺术培训有限公司</w:t>
            </w:r>
          </w:p>
        </w:tc>
        <w:tc>
          <w:tcPr>
            <w:tcW w:w="3015"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嘉鱼县鱼岳镇迎宾大道23号一楼</w:t>
            </w:r>
          </w:p>
        </w:tc>
        <w:tc>
          <w:tcPr>
            <w:tcW w:w="2173"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非学科类</w:t>
            </w:r>
          </w:p>
        </w:tc>
        <w:tc>
          <w:tcPr>
            <w:tcW w:w="1356" w:type="dxa"/>
            <w:noWrap w:val="0"/>
            <w:vAlign w:val="center"/>
          </w:tcPr>
          <w:p>
            <w:pPr>
              <w:keepNext w:val="0"/>
              <w:keepLines w:val="0"/>
              <w:widowControl/>
              <w:suppressLineNumbers w:val="0"/>
              <w:jc w:val="center"/>
              <w:textAlignment w:val="center"/>
              <w:rPr>
                <w:rFonts w:ascii="仿宋_GB2312" w:hAnsi="仿宋_GB2312" w:eastAsia="仿宋_GB2312" w:cs="仿宋_GB2312"/>
                <w:sz w:val="28"/>
                <w:szCs w:val="36"/>
              </w:rPr>
            </w:pPr>
            <w:r>
              <w:rPr>
                <w:rFonts w:hint="eastAsia" w:ascii="CESI仿宋-GB2312" w:hAnsi="CESI仿宋-GB2312" w:eastAsia="CESI仿宋-GB2312" w:cs="CESI仿宋-GB2312"/>
                <w:i w:val="0"/>
                <w:color w:val="000000"/>
                <w:kern w:val="0"/>
                <w:sz w:val="20"/>
                <w:szCs w:val="20"/>
                <w:u w:val="none"/>
                <w:lang w:val="en-US" w:eastAsia="zh-CN" w:bidi="ar"/>
              </w:rPr>
              <w:t>已办核准书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default"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9</w:t>
            </w:r>
          </w:p>
        </w:tc>
        <w:tc>
          <w:tcPr>
            <w:tcW w:w="3584" w:type="dxa"/>
            <w:gridSpan w:val="2"/>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嘉鱼县春蕾文化艺术有限公司</w:t>
            </w:r>
          </w:p>
        </w:tc>
        <w:tc>
          <w:tcPr>
            <w:tcW w:w="3015"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牌洲湾镇乡正街三组</w:t>
            </w:r>
          </w:p>
        </w:tc>
        <w:tc>
          <w:tcPr>
            <w:tcW w:w="2173"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非学科类</w:t>
            </w:r>
          </w:p>
        </w:tc>
        <w:tc>
          <w:tcPr>
            <w:tcW w:w="1356" w:type="dxa"/>
            <w:noWrap w:val="0"/>
            <w:vAlign w:val="center"/>
          </w:tcPr>
          <w:p>
            <w:pPr>
              <w:keepNext w:val="0"/>
              <w:keepLines w:val="0"/>
              <w:widowControl/>
              <w:suppressLineNumbers w:val="0"/>
              <w:jc w:val="center"/>
              <w:textAlignment w:val="center"/>
              <w:rPr>
                <w:rFonts w:ascii="仿宋_GB2312" w:hAnsi="仿宋_GB2312" w:eastAsia="仿宋_GB2312" w:cs="仿宋_GB2312"/>
                <w:sz w:val="28"/>
                <w:szCs w:val="36"/>
              </w:rPr>
            </w:pPr>
            <w:r>
              <w:rPr>
                <w:rFonts w:hint="eastAsia" w:ascii="CESI仿宋-GB2312" w:hAnsi="CESI仿宋-GB2312" w:eastAsia="CESI仿宋-GB2312" w:cs="CESI仿宋-GB2312"/>
                <w:i w:val="0"/>
                <w:color w:val="000000"/>
                <w:kern w:val="0"/>
                <w:sz w:val="20"/>
                <w:szCs w:val="20"/>
                <w:u w:val="none"/>
                <w:lang w:val="en-US" w:eastAsia="zh-CN" w:bidi="ar"/>
              </w:rPr>
              <w:t>已办核准书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default"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10</w:t>
            </w:r>
          </w:p>
        </w:tc>
        <w:tc>
          <w:tcPr>
            <w:tcW w:w="3584" w:type="dxa"/>
            <w:gridSpan w:val="2"/>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嘉鱼县翰墨园艺术培训有限公司</w:t>
            </w:r>
          </w:p>
        </w:tc>
        <w:tc>
          <w:tcPr>
            <w:tcW w:w="3015"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嘉鱼县鱼岳镇岳公路德瑞广场二楼201号</w:t>
            </w:r>
          </w:p>
        </w:tc>
        <w:tc>
          <w:tcPr>
            <w:tcW w:w="2173"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非学科类</w:t>
            </w:r>
          </w:p>
        </w:tc>
        <w:tc>
          <w:tcPr>
            <w:tcW w:w="1356" w:type="dxa"/>
            <w:noWrap w:val="0"/>
            <w:vAlign w:val="center"/>
          </w:tcPr>
          <w:p>
            <w:pPr>
              <w:keepNext w:val="0"/>
              <w:keepLines w:val="0"/>
              <w:widowControl/>
              <w:suppressLineNumbers w:val="0"/>
              <w:jc w:val="center"/>
              <w:textAlignment w:val="center"/>
              <w:rPr>
                <w:rFonts w:ascii="仿宋_GB2312" w:hAnsi="仿宋_GB2312" w:eastAsia="仿宋_GB2312" w:cs="仿宋_GB2312"/>
                <w:sz w:val="28"/>
                <w:szCs w:val="36"/>
              </w:rPr>
            </w:pPr>
            <w:r>
              <w:rPr>
                <w:rFonts w:hint="eastAsia" w:ascii="CESI仿宋-GB2312" w:hAnsi="CESI仿宋-GB2312" w:eastAsia="CESI仿宋-GB2312" w:cs="CESI仿宋-GB2312"/>
                <w:i w:val="0"/>
                <w:color w:val="000000"/>
                <w:kern w:val="0"/>
                <w:sz w:val="20"/>
                <w:szCs w:val="20"/>
                <w:u w:val="none"/>
                <w:lang w:val="en-US" w:eastAsia="zh-CN" w:bidi="ar"/>
              </w:rPr>
              <w:t>已办核准书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default"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11</w:t>
            </w:r>
          </w:p>
        </w:tc>
        <w:tc>
          <w:tcPr>
            <w:tcW w:w="3584" w:type="dxa"/>
            <w:gridSpan w:val="2"/>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嘉鱼县专育人才艺术中心</w:t>
            </w:r>
          </w:p>
        </w:tc>
        <w:tc>
          <w:tcPr>
            <w:tcW w:w="3015"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沙阳大道113号</w:t>
            </w:r>
          </w:p>
        </w:tc>
        <w:tc>
          <w:tcPr>
            <w:tcW w:w="2173"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非学科类</w:t>
            </w:r>
          </w:p>
        </w:tc>
        <w:tc>
          <w:tcPr>
            <w:tcW w:w="1356" w:type="dxa"/>
            <w:noWrap w:val="0"/>
            <w:vAlign w:val="center"/>
          </w:tcPr>
          <w:p>
            <w:pPr>
              <w:keepNext w:val="0"/>
              <w:keepLines w:val="0"/>
              <w:widowControl/>
              <w:suppressLineNumbers w:val="0"/>
              <w:jc w:val="center"/>
              <w:textAlignment w:val="center"/>
              <w:rPr>
                <w:rFonts w:ascii="仿宋_GB2312" w:hAnsi="仿宋_GB2312" w:eastAsia="仿宋_GB2312" w:cs="仿宋_GB2312"/>
                <w:sz w:val="28"/>
                <w:szCs w:val="36"/>
              </w:rPr>
            </w:pPr>
            <w:r>
              <w:rPr>
                <w:rFonts w:hint="eastAsia" w:ascii="CESI仿宋-GB2312" w:hAnsi="CESI仿宋-GB2312" w:eastAsia="CESI仿宋-GB2312" w:cs="CESI仿宋-GB2312"/>
                <w:i w:val="0"/>
                <w:color w:val="000000"/>
                <w:kern w:val="0"/>
                <w:sz w:val="20"/>
                <w:szCs w:val="20"/>
                <w:u w:val="none"/>
                <w:lang w:val="en-US" w:eastAsia="zh-CN" w:bidi="ar"/>
              </w:rPr>
              <w:t>已办核准书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noWrap w:val="0"/>
            <w:vAlign w:val="center"/>
          </w:tcPr>
          <w:p>
            <w:pPr>
              <w:keepNext w:val="0"/>
              <w:keepLines w:val="0"/>
              <w:widowControl/>
              <w:suppressLineNumbers w:val="0"/>
              <w:jc w:val="center"/>
              <w:textAlignment w:val="center"/>
              <w:rPr>
                <w:rFonts w:hint="default"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12</w:t>
            </w:r>
          </w:p>
        </w:tc>
        <w:tc>
          <w:tcPr>
            <w:tcW w:w="3584" w:type="dxa"/>
            <w:gridSpan w:val="2"/>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嘉鱼县启迪艺术文化工作室</w:t>
            </w:r>
          </w:p>
        </w:tc>
        <w:tc>
          <w:tcPr>
            <w:tcW w:w="3015"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鱼岳镇岳公路德瑞广场三楼301商铺</w:t>
            </w:r>
          </w:p>
        </w:tc>
        <w:tc>
          <w:tcPr>
            <w:tcW w:w="2173" w:type="dxa"/>
            <w:noWrap w:val="0"/>
            <w:vAlign w:val="center"/>
          </w:tcPr>
          <w:p>
            <w:pPr>
              <w:keepNext w:val="0"/>
              <w:keepLines w:val="0"/>
              <w:widowControl/>
              <w:suppressLineNumbers w:val="0"/>
              <w:jc w:val="center"/>
              <w:textAlignment w:val="center"/>
              <w:rPr>
                <w:rFonts w:hint="eastAsia" w:ascii="楷体" w:hAnsi="楷体" w:eastAsia="楷体" w:cs="楷体"/>
                <w:color w:val="000000"/>
                <w:sz w:val="28"/>
                <w:szCs w:val="28"/>
                <w:lang w:val="en-US" w:eastAsia="zh-CN"/>
              </w:rPr>
            </w:pPr>
            <w:r>
              <w:rPr>
                <w:rFonts w:hint="eastAsia" w:ascii="CESI仿宋-GB2312" w:hAnsi="CESI仿宋-GB2312" w:eastAsia="CESI仿宋-GB2312" w:cs="CESI仿宋-GB2312"/>
                <w:i w:val="0"/>
                <w:color w:val="000000"/>
                <w:kern w:val="0"/>
                <w:sz w:val="20"/>
                <w:szCs w:val="20"/>
                <w:u w:val="none"/>
                <w:lang w:val="en-US" w:eastAsia="zh-CN" w:bidi="ar"/>
              </w:rPr>
              <w:t>非学科类</w:t>
            </w:r>
          </w:p>
        </w:tc>
        <w:tc>
          <w:tcPr>
            <w:tcW w:w="1356" w:type="dxa"/>
            <w:noWrap w:val="0"/>
            <w:vAlign w:val="center"/>
          </w:tcPr>
          <w:p>
            <w:pPr>
              <w:keepNext w:val="0"/>
              <w:keepLines w:val="0"/>
              <w:widowControl/>
              <w:suppressLineNumbers w:val="0"/>
              <w:jc w:val="center"/>
              <w:textAlignment w:val="center"/>
              <w:rPr>
                <w:rFonts w:ascii="仿宋_GB2312" w:hAnsi="仿宋_GB2312" w:eastAsia="仿宋_GB2312" w:cs="仿宋_GB2312"/>
                <w:sz w:val="28"/>
                <w:szCs w:val="36"/>
              </w:rPr>
            </w:pPr>
            <w:r>
              <w:rPr>
                <w:rFonts w:hint="eastAsia" w:ascii="CESI仿宋-GB2312" w:hAnsi="CESI仿宋-GB2312" w:eastAsia="CESI仿宋-GB2312" w:cs="CESI仿宋-GB2312"/>
                <w:i w:val="0"/>
                <w:color w:val="000000"/>
                <w:kern w:val="0"/>
                <w:sz w:val="20"/>
                <w:szCs w:val="20"/>
                <w:u w:val="none"/>
                <w:lang w:val="en-US" w:eastAsia="zh-CN" w:bidi="ar"/>
              </w:rPr>
              <w:t>已办核准书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8" w:type="dxa"/>
            <w:gridSpan w:val="6"/>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firstLine="560" w:firstLineChars="200"/>
              <w:jc w:val="left"/>
              <w:textAlignment w:val="auto"/>
              <w:rPr>
                <w:rFonts w:ascii="仿宋_GB2312" w:hAnsi="仿宋_GB2312" w:eastAsia="仿宋_GB2312" w:cs="仿宋_GB2312"/>
                <w:sz w:val="28"/>
                <w:szCs w:val="36"/>
              </w:rPr>
            </w:pPr>
            <w:r>
              <w:rPr>
                <w:rFonts w:hint="eastAsia" w:ascii="楷体_GB2312" w:hAnsi="楷体_GB2312" w:eastAsia="楷体_GB2312" w:cs="楷体_GB2312"/>
                <w:sz w:val="28"/>
                <w:szCs w:val="36"/>
              </w:rPr>
              <w:t>嘉鱼县“双减”办敬告广大学生家长：“灰”名单机构已经取得核准书，但目前尚未按照主管部门要求在全国校外培训监管与服务综合平台上架及售卖相应培训课程，未接受全流程监管，主管部门已责令其限期整改。在完成整改前，家长通过其他渠道交费后可能发生资金风险、产生退费纠纷，建议家长朋友谨慎选择。可以与培训机构协议采用“先上课、后付费”方式，避免发生“退费难”风险。</w:t>
            </w:r>
          </w:p>
        </w:tc>
      </w:tr>
    </w:tbl>
    <w:p>
      <w:pPr>
        <w:keepNext w:val="0"/>
        <w:keepLines w:val="0"/>
        <w:pageBreakBefore w:val="0"/>
        <w:widowControl w:val="0"/>
        <w:numPr>
          <w:ilvl w:val="0"/>
          <w:numId w:val="0"/>
        </w:numPr>
        <w:suppressAutoHyphens/>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z w:val="28"/>
          <w:szCs w:val="36"/>
          <w:lang w:val="en-US" w:eastAsia="zh-CN"/>
        </w:rPr>
      </w:pPr>
    </w:p>
    <w:p/>
    <w:sectPr>
      <w:footerReference r:id="rId3" w:type="default"/>
      <w:pgSz w:w="11906" w:h="16838"/>
      <w:pgMar w:top="1134" w:right="1134" w:bottom="1134" w:left="934" w:header="720" w:footer="720"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0M2ExNmM5NTQ1M2UwMmU3ODA2NTM0ODYwYzIyMTYifQ=="/>
  </w:docVars>
  <w:rsids>
    <w:rsidRoot w:val="00172A27"/>
    <w:rsid w:val="03B40403"/>
    <w:rsid w:val="0FFF0FCE"/>
    <w:rsid w:val="1AEA0BD6"/>
    <w:rsid w:val="1ECF5A05"/>
    <w:rsid w:val="261271BF"/>
    <w:rsid w:val="263E3F62"/>
    <w:rsid w:val="27AD5453"/>
    <w:rsid w:val="2B5244B4"/>
    <w:rsid w:val="2C11436F"/>
    <w:rsid w:val="2C1C2F4A"/>
    <w:rsid w:val="2CBC4F83"/>
    <w:rsid w:val="32EC51EE"/>
    <w:rsid w:val="332F0AAD"/>
    <w:rsid w:val="39FD04DA"/>
    <w:rsid w:val="440305EA"/>
    <w:rsid w:val="4E314A0C"/>
    <w:rsid w:val="4F4E3061"/>
    <w:rsid w:val="57141029"/>
    <w:rsid w:val="58076DE8"/>
    <w:rsid w:val="5BCFD3D6"/>
    <w:rsid w:val="5CBF56B6"/>
    <w:rsid w:val="5DD664AE"/>
    <w:rsid w:val="654A32AD"/>
    <w:rsid w:val="67C06C6B"/>
    <w:rsid w:val="689F6362"/>
    <w:rsid w:val="69DD189E"/>
    <w:rsid w:val="79921903"/>
    <w:rsid w:val="79C36276"/>
    <w:rsid w:val="7A2D430B"/>
    <w:rsid w:val="7D544E00"/>
    <w:rsid w:val="7EE315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2090</Words>
  <Characters>2194</Characters>
  <Lines>0</Lines>
  <Paragraphs>0</Paragraphs>
  <TotalTime>0</TotalTime>
  <ScaleCrop>false</ScaleCrop>
  <LinksUpToDate>false</LinksUpToDate>
  <CharactersWithSpaces>2194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2024-04-02T15:55:00Z</dcterms:created>
  <dc:creator>芦荟</dc:creator>
  <cp:lastModifiedBy>锦轩王</cp:lastModifiedBy>
  <cp:lastPrinted>2024-04-02T16:06:00Z</cp:lastPrinted>
  <dcterms:modified xsi:type="dcterms:W3CDTF">2024-06-04T08:40:04Z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A630140F85234968A4497F23429468CB_11</vt:lpwstr>
  </property>
</Properties>
</file>